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ISTITUTO PROFESSIONALE DI STATO DEI SERVIZI PER L’ENOGASTRONOMIA E 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L’OSPITALITÀ ALBERGHIERA G. MINUTO Marina di Massa</w:t>
      </w:r>
    </w:p>
    <w:p w:rsidR="00000000" w:rsidDel="00000000" w:rsidP="00000000" w:rsidRDefault="00000000" w:rsidRPr="00000000">
      <w:pPr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PASSAGGIO ALLA CLASSE QUINTA E RELATIVO PROGRAMMA DI QUARTA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Materia: </w:t>
      </w: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LABORATORIO DEI SERVIZI ENOGASTRONOMICI - CUCINA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Libro di testo: Nuovo chef con masterlab II° biennio, Gianni Frangini, Lemonier scuola</w:t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60.0" w:type="pct"/>
        <w:tblLayout w:type="fixed"/>
        <w:tblLook w:val="0600"/>
      </w:tblPr>
      <w:tblGrid>
        <w:gridCol w:w="2715"/>
        <w:gridCol w:w="3315"/>
        <w:gridCol w:w="2985"/>
        <w:tblGridChange w:id="0">
          <w:tblGrid>
            <w:gridCol w:w="2715"/>
            <w:gridCol w:w="3315"/>
            <w:gridCol w:w="2985"/>
          </w:tblGrid>
        </w:tblGridChange>
      </w:tblGrid>
      <w:tr>
        <w:trPr>
          <w:trHeight w:val="5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CONOSCENZE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ABILITA’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COMPETENZE</w:t>
            </w:r>
          </w:p>
        </w:tc>
      </w:tr>
      <w:tr>
        <w:trPr>
          <w:trHeight w:val="90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Valore culturale del cibo e rapporto tra gastronomia e società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Caratteristiche della cucina regionale, nazionale ed internazionale.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Prodotti enogastronomici e tutela del marchio di qualità.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Criteri di elaborazioni di menu e ‘carte’.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Stili alimentari e dieta equilibrata nella ristorazione commerciale 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collettiva.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Costi di produzione del settore cucina.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Alimenti e piatti delle tradizioni locali, prodotti della tradizione 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dell’innovazione.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Organizzazione del personale del settore cucina.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Tecniche di cottura e conservazione degli alimenti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Programmazione e organizzazione della produzione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Tecniche di cucina.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Tecniche di pasticceria.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Software di settore.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Individuare le componenti culturali della gastronomia.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Individuare i fattori che determinano l’elaborazione di un menu.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Elaborare menu in relazione alle necessità dietologiche e nutrizionali della clientela.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Progettare un catalogo di menu, rispettando le regole gastronomiche in relazione al target dei clienti.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 Elaborare menu e carte, in funzione della tipicità, stagionalità e target dei clienti.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Elaborare menu in relazione alle necessità dietologiche e nutrizionali della clientela.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Calcolare i costi di produzione specifici del settore.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Apportare alla ricetta originale di un piatto variazioni personali,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fornire spiegazioni tecniche e motivazioni culturali, con attenzione all’evoluzione del gusto e della cucina.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Classificare gli alimenti in base alle qualità organolettiche e alle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relative certificazioni di qualità.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Simulare l’organizzazione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scientifica della brigata di cucina.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Utilizzare tecniche di approvvigionamento per abbattere i costi (Food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and beverage cost).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Applicare tecniche di cottura e conservazione ai prodotti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enogastronomici.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Produrre impasti di base, creme e farce di base, torte e dolci al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cucchiaio.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Produrre impasti lievitati ed evidenziare le varianti regionali.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Controllare e utilizzare gli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alimenti sotto il profilo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organolettico, merceologico,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chimico-fisico, nutrizionale 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gastronomico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Utilizzare tecniche di lavorazione e strumenti gestionali nella produzione di prodotti gastronomici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Valorizzare 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promuovere le tradizioni locali, nazionali e internazionali, individuando le nuove tendenze di filiera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Applicare le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Normative, vigenti, nazionali e internazionali  in fatto di sicurezza, trasparenza e tracciabilità dei prodotti.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Integrare le competenze professionali,orientate al cliente con quelle linguistiche utilizzando le tecniche di comunicazione e relazione per ottimizzare la qualità del servizio e il coordinamento con I colleghi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Predisporre menu coerenti con il conteso e le esigenze della clientele anche in relazione a specifiche necessita dietologiche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Sa relazionarsi con i componenti della brigata  e gli altri reparti del settore ristorativo ( competenza di cittadinanza)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100" w:lineRule="auto"/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50.0" w:type="dxa"/>
        <w:jc w:val="left"/>
        <w:tblInd w:w="60.0" w:type="pct"/>
        <w:tblLayout w:type="fixed"/>
        <w:tblLook w:val="0600"/>
      </w:tblPr>
      <w:tblGrid>
        <w:gridCol w:w="2520"/>
        <w:gridCol w:w="6630"/>
        <w:tblGridChange w:id="0">
          <w:tblGrid>
            <w:gridCol w:w="2520"/>
            <w:gridCol w:w="6630"/>
          </w:tblGrid>
        </w:tblGridChange>
      </w:tblGrid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spacing w:after="100" w:lineRule="auto"/>
              <w:contextualSpacing w:val="0"/>
              <w:jc w:val="center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TITOLO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spacing w:after="100" w:lineRule="auto"/>
              <w:contextualSpacing w:val="0"/>
              <w:jc w:val="center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CONTENUTI Essenziali</w:t>
            </w:r>
          </w:p>
        </w:tc>
      </w:tr>
      <w:tr>
        <w:trPr>
          <w:trHeight w:val="18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n°1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Enogastronomia manageriale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1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Il menu e la politica dei prezzi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Riconoscere il ruolo centrale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del menu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Costruire menu rispettando le regole gastronomiche e nutrizionali, tenendo presente le esigenze della clientela.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Progettare graficamente menu semplici.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Individuare i fattori che intervengono nel determinare il prezzo di vendita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funzioni e i tipi di menu e carta.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regole per la costruzione di menu tecnicamente corretti.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redazione della carta.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n°2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Le portate del menu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1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 secondi di carne e i contorni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caratteristiche merceologiche 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gastronomiche delle carni.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regole di servizio dei secondi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tagli delle carni da macello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tecniche di cottura delle carni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tecniche di cottura degli ortaggi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n°2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Le portate del menu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2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 secondi con pesci, crostacei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e molluschi e i contorni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classificazione di pesci, crostacei e molluschi.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criteri di valutazione della freschezza 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Identificare i pesci, i crostacei e i molluschi 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Conservare i prodotti ittici in modo igienicamente corretto.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tecniche di cottura dei prodotti ittici</w:t>
            </w:r>
          </w:p>
        </w:tc>
      </w:tr>
      <w:tr>
        <w:trPr>
          <w:trHeight w:val="16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n°2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Le portate del menu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3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Gli antipasti i primi piatti e la pasticceria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Consolidare le tecniche di base nella produzione di pasticceria e gastronomia.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Rispettare le Buone pratiche di lavorazione (GMP) inerenti l’igiene e la conservazione dei prodotti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Realizzare con buona autonomia operativa preparazioni salate e dolci.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n°3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La gastronomia tra tradizione ed evoluzione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1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La gastronomia regionale italiana: caratteristiche, prodotti tipici e loro uso in cucina, piatti tipici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Riconoscere gli stili di cucina attuali.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Valorizzare i prodotti gastronomici tenendo presente gli aspetti culturali legati ad essi,  con particolare riguardo al territorio.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Valorizzare i piatti della tradizione.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elementi caratteristici della cucina italiana.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caratteristiche principali della cucina delle singole regioni.</w:t>
            </w:r>
          </w:p>
        </w:tc>
      </w:tr>
      <w:tr>
        <w:trPr>
          <w:trHeight w:val="16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n°3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La gastronomia tra tradizione ed evoluzione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2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La gastronomia europea ed extraeuropea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caratteristiche essenziali delle cucine del mondo.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Ingredienti e piatti tipici delle principali cucine del mondo.</w:t>
            </w:r>
          </w:p>
        </w:tc>
      </w:tr>
      <w:tr>
        <w:trPr>
          <w:trHeight w:val="18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n°3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La gastronomia tra tradizione ed evoluzione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3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La cucina salutistica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Essere consapevole della necessità di perseguire uno stile di cucina nutrizionalmente  più corretto.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principi della cucina salutistica.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piatti e ingredienti con caratteristiche salutistiche.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Norme e regole della cucina per celiaci.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n°4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Il mondo dell’enogastronomia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1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 grandi gastronomi del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passato e del presente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Identificare  e conoscere  i principali personaggi della gastronomia.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principali libri storici di cucina.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L’apporto di grandi chef alla trasformazione dell’arte culinaria.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n°4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Il mondo dell’enogastronomia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2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Il mercato  enogastronomico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Cogliere le differenze organizzative tra ristorazione sociale, tradizionale, neo-ristorazione.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Tipologie dei servizi ristorativi e classificazione dei pubblici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esercizi.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n°5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 prodotti alimentari e l’approvvigionamento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1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 prodotti alimentari e il loro uso in cucina: approfondimento e ripasso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classificazione dei prodotti in base al livello di lavorazione.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Marchi di qualità, certificazioni e tutela dei prodotti tipici.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Il significato di “prodotto biologico”.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n°5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 prodotti alimentari e l’approvvigionamento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2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Approvvigionamento e gestione delle merci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Scegliere i canali di approvvigionamento.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Effettuare i controlli tipici del ricevimento merci.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Stoccare correttamente le  merci.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funzioni dell’economo.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tecniche di gestione delle merci dall’ordinazione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allo stoccaggio.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n°6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Alternanza scuola lavoro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Entrare in contatto diretto con il mondo del lavoro, facendo un esperienza professionale presso una struttura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ristorativa.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b w:val="1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18"/>
          <w:szCs w:val="18"/>
          <w:rtl w:val="0"/>
        </w:rPr>
        <w:t xml:space="preserve">TIPOLOGIA DELLA PROVA DA EFFETTUARE</w:t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sz w:val="18"/>
          <w:szCs w:val="18"/>
          <w:rtl w:val="0"/>
        </w:rPr>
        <w:t xml:space="preserve">Numero 2  tipologie di prove da svolgersi nell’arco della stessa giornata.</w:t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sz w:val="18"/>
          <w:szCs w:val="18"/>
          <w:rtl w:val="0"/>
        </w:rPr>
        <w:t xml:space="preserve">n° 1 prova pratica in laboratorio </w:t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sz w:val="18"/>
          <w:szCs w:val="18"/>
          <w:rtl w:val="0"/>
        </w:rPr>
        <w:t xml:space="preserve">n° 1 Prova orale </w:t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0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sz w:val="18"/>
          <w:szCs w:val="18"/>
          <w:rtl w:val="0"/>
        </w:rPr>
        <w:t xml:space="preserve">                                                                                               IL REFERENTE DEL DIPARTIMENTO DISCIPLINARE</w:t>
      </w:r>
    </w:p>
    <w:p w:rsidR="00000000" w:rsidDel="00000000" w:rsidP="00000000" w:rsidRDefault="00000000" w:rsidRPr="00000000">
      <w:pPr>
        <w:spacing w:after="100" w:lineRule="auto"/>
        <w:contextualSpacing w:val="0"/>
        <w:rPr/>
      </w:pPr>
      <w:r w:rsidDel="00000000" w:rsidR="00000000" w:rsidRPr="00000000">
        <w:rPr>
          <w:rFonts w:ascii="Trebuchet MS" w:cs="Trebuchet MS" w:eastAsia="Trebuchet MS" w:hAnsi="Trebuchet MS"/>
          <w:sz w:val="18"/>
          <w:szCs w:val="18"/>
          <w:rtl w:val="0"/>
        </w:rPr>
        <w:t xml:space="preserve">                                                                                                                   Matteo Castelliti                            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